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 xml:space="preserve">Совместные разъяснения Минтруда России и Роспотребнадзора по организации вакцинации в организованных рабочих коллективах (трудовых коллективах) и порядку учёта процента вакцинированных </w:t>
      </w:r>
    </w:p>
    <w:p>
      <w:pPr>
        <w:pStyle w:val="Heading2"/>
        <w:rPr/>
      </w:pPr>
      <w:r>
        <w:rPr/>
        <w:t>В секретариат Российской трехсторонней комиссии по регулированию социально-трудовых отношений</w:t>
      </w:r>
    </w:p>
    <w:p>
      <w:pPr>
        <w:pStyle w:val="TextBody"/>
        <w:rPr/>
      </w:pPr>
      <w:r>
        <w:rPr/>
        <w:t>Министерство труда и социальной защиты Российской Федерации совместно с Федеральной службой по надзору в сфере защиты прав потребителей и благополучия человека во исполнение пункта 5 перечня поручений Председателя Правительства Российской Федерации М.В. Мишустина от 16 июля 2021 г. № ММ-П13-9509кв по итогам заседания президиума Координационного совета при Правительстве Российской Федерации по борьбе с распространением новой коронавирусной инфекции на территории Российской Федерации 9 июля 2021 г. направляет разъяснения по организации вакцинации в организованных рабочих коллективах (трудовых коллективах) и порядку учёта процента вакцинированных для доведения их до общероссийских объединений работодателей и полагает целесообразным информирование объединениями работодателей своих членов по данному вопросу. </w:t>
      </w:r>
    </w:p>
    <w:p>
      <w:pPr>
        <w:pStyle w:val="TextBody"/>
        <w:rPr/>
      </w:pPr>
      <w:r>
        <w:rPr/>
        <w:t>Приложение: 6 л. </w:t>
      </w:r>
    </w:p>
    <w:p>
      <w:pPr>
        <w:pStyle w:val="TextBody"/>
        <w:rPr/>
      </w:pPr>
      <w:r>
        <w:rPr>
          <w:rStyle w:val="StrongEmphasis"/>
        </w:rPr>
        <w:t>Заместитель Министра</w:t>
      </w:r>
    </w:p>
    <w:p>
      <w:pPr>
        <w:pStyle w:val="TextBody"/>
        <w:spacing w:before="0" w:after="283"/>
        <w:rPr/>
      </w:pPr>
      <w:r>
        <w:rPr>
          <w:rStyle w:val="StrongEmphasis"/>
        </w:rPr>
        <w:t>Е.В. Мухтиярова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